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Gorilla</w:t>
      </w:r>
    </w:p>
    <w:p>
      <w:pPr>
        <w:pStyle w:val="Heading2"/>
      </w:pPr>
      <w:r>
        <w:t>Habitat</w:t>
      </w:r>
    </w:p>
    <w:p>
      <w:r>
        <w:t>Gorillas are primarily found in the tropical and subtropical forests of central Africa. They inhabit dense forests and lowland swamps, and their range includes countries such as Rwanda, Uganda, and the Democratic Republic of the Congo.</w:t>
      </w:r>
    </w:p>
    <w:p>
      <w:pPr>
        <w:pStyle w:val="Heading2"/>
      </w:pPr>
      <w:r>
        <w:t>Diet</w:t>
      </w:r>
    </w:p>
    <w:p>
      <w:r>
        <w:t>Gorillas are primarily herbivores. Their diet consists mainly of leaves, stems, fruit, and bamboo shoots. Occasionally, they may consume small insects such as ants or termites.</w:t>
      </w:r>
    </w:p>
    <w:p>
      <w:pPr>
        <w:pStyle w:val="Heading2"/>
      </w:pPr>
      <w:r>
        <w:t>Fun Fact</w:t>
      </w:r>
    </w:p>
    <w:p>
      <w:r>
        <w:t>Gorillas share about 98% of their DNA with humans, making them one of our closest living relatives. They are highly intelligent and have been observed using tools and displaying emotions such as laughter and sadness.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